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9212B"/>
          <w:sz w:val="32"/>
        </w:rPr>
        <w:t>w</w:t>
      </w:r>
      <w:r>
        <w:rPr>
          <w:b/>
          <w:color w:val="F69C82"/>
          <w:sz w:val="32"/>
        </w:rPr>
        <w:t>·</w:t>
      </w:r>
      <w:r>
        <w:rPr>
          <w:b/>
          <w:sz w:val="24"/>
        </w:rPr>
        <w:t xml:space="preserve">  Welivo</w:t>
      </w:r>
    </w:p>
    <w:p>
      <w:r>
        <w:rPr>
          <w:b/>
          <w:sz w:val="40"/>
        </w:rPr>
        <w:t>Manager evidence checklist</w:t>
      </w:r>
    </w:p>
    <w:p>
      <w:r>
        <w:rPr>
          <w:color w:val="59616B"/>
          <w:sz w:val="20"/>
        </w:rPr>
        <w:t>What every floor manager should have on file for every rep. One page. welivo.co.uk/unfair-dismissal-2027</w:t>
      </w:r>
    </w:p>
    <w:p/>
    <w:p>
      <w:pPr>
        <w:spacing w:before="200"/>
      </w:pPr>
      <w:r>
        <w:rPr>
          <w:b/>
          <w:sz w:val="25"/>
        </w:rPr>
        <w:t>Rep · Manager ·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sz w:val="19"/>
              </w:rPr>
              <w:t>Rep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Manager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Period covered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sz w:val="25"/>
        </w:rPr>
        <w:t>On file? Tick each line and note where it lives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7"/>
          </w:tcPr>
          <w:p>
            <w:r/>
            <w:r>
              <w:rPr>
                <w:b/>
                <w:color w:val="59616B"/>
                <w:sz w:val="17"/>
              </w:rPr>
            </w:r>
          </w:p>
        </w:tc>
        <w:tc>
          <w:tcPr>
            <w:tcW w:type="dxa" w:w="5669"/>
          </w:tcPr>
          <w:p>
            <w:r/>
            <w:r>
              <w:rPr>
                <w:b/>
                <w:color w:val="59616B"/>
                <w:sz w:val="17"/>
              </w:rPr>
              <w:t>Item</w:t>
            </w:r>
          </w:p>
        </w:tc>
        <w:tc>
          <w:tcPr>
            <w:tcW w:type="dxa" w:w="2835"/>
          </w:tcPr>
          <w:p>
            <w:r/>
            <w:r>
              <w:rPr>
                <w:b/>
                <w:color w:val="59616B"/>
                <w:sz w:val="17"/>
              </w:rPr>
              <w:t>Where it lives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☐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The target, in numbers, by month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☐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The gap, in money, by month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☐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Every coaching event, dated and typed (call review, deal review, side-by-side, formal)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☐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Each manager commitment: what, promised for which date, and whether the rep says it was kept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☐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The rep's acknowledgement of target, gap and support offered (signed and dated)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☐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Any PIP: start date, review dates, support promised, outcome, rep signature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☐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Disputes raised by the rep and how they were resolved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9"/>
              </w:rPr>
              <w:t>☐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A record that cannot be edited after the fact (or a note of who can edit it)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sz w:val="25"/>
        </w:rPr>
        <w:t>Three tests before you rely on it</w:t>
      </w:r>
    </w:p>
    <w:p>
      <w:pPr>
        <w:pStyle w:val="ListBullet"/>
      </w:pPr>
      <w:r>
        <w:t>Contemporaneous: was it written at the time, not assembled before a hearing?</w:t>
      </w:r>
    </w:p>
    <w:p>
      <w:pPr>
        <w:pStyle w:val="ListBullet"/>
      </w:pPr>
      <w:r>
        <w:t>Two-sided: did the rep have the chance to confirm or disagree, and is their answer recorded?</w:t>
      </w:r>
    </w:p>
    <w:p>
      <w:pPr>
        <w:pStyle w:val="ListBullet"/>
      </w:pPr>
      <w:r>
        <w:t>Dated: does every entry carry the date it was promised and the date it happened?</w:t>
      </w:r>
    </w:p>
    <w:p>
      <w:r>
        <w:rPr>
          <w:color w:val="59616B"/>
          <w:sz w:val="17"/>
        </w:rPr>
        <w:t>Not legal advice. From 1 January 2027 the unfair dismissal qualifying period in Great Britain falls to six months and the compensation cap is removed. Confirm the detail with Acas or a solicitor. © Certi Technologies Ltd, welivo.co.uk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921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